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A46" w:rsidRDefault="00D63A46" w:rsidP="00D63A46">
      <w:pPr>
        <w:spacing w:after="0" w:line="240" w:lineRule="auto"/>
        <w:jc w:val="right"/>
        <w:rPr>
          <w:rFonts w:ascii="Times New Roman" w:hAnsi="Times New Roman" w:cs="Times New Roman"/>
        </w:rPr>
      </w:pPr>
      <w:r>
        <w:rPr>
          <w:rFonts w:ascii="Times New Roman" w:hAnsi="Times New Roman" w:cs="Times New Roman"/>
        </w:rPr>
        <w:t>Nowa Wieś Wielka, dnia 11 maja 2020</w:t>
      </w:r>
      <w:r w:rsidRPr="00402C87">
        <w:rPr>
          <w:rFonts w:ascii="Times New Roman" w:hAnsi="Times New Roman" w:cs="Times New Roman"/>
        </w:rPr>
        <w:t xml:space="preserve"> r.</w:t>
      </w:r>
    </w:p>
    <w:p w:rsidR="00D63A46" w:rsidRDefault="00D63A46" w:rsidP="00D63A46">
      <w:pPr>
        <w:spacing w:after="0" w:line="240" w:lineRule="auto"/>
        <w:rPr>
          <w:rFonts w:ascii="Times New Roman" w:hAnsi="Times New Roman" w:cs="Times New Roman"/>
          <w:b/>
        </w:rPr>
      </w:pPr>
    </w:p>
    <w:p w:rsidR="00D63A46" w:rsidRPr="00CE0154" w:rsidRDefault="00D63A46" w:rsidP="00D63A46">
      <w:pPr>
        <w:spacing w:after="0" w:line="240" w:lineRule="auto"/>
        <w:rPr>
          <w:rFonts w:ascii="Times New Roman" w:hAnsi="Times New Roman" w:cs="Times New Roman"/>
          <w:b/>
        </w:rPr>
      </w:pPr>
    </w:p>
    <w:tbl>
      <w:tblPr>
        <w:tblW w:w="8475" w:type="dxa"/>
        <w:jc w:val="center"/>
        <w:tblCellSpacing w:w="7" w:type="dxa"/>
        <w:tblCellMar>
          <w:top w:w="15" w:type="dxa"/>
          <w:left w:w="15" w:type="dxa"/>
          <w:bottom w:w="15" w:type="dxa"/>
          <w:right w:w="15" w:type="dxa"/>
        </w:tblCellMar>
        <w:tblLook w:val="04A0" w:firstRow="1" w:lastRow="0" w:firstColumn="1" w:lastColumn="0" w:noHBand="0" w:noVBand="1"/>
      </w:tblPr>
      <w:tblGrid>
        <w:gridCol w:w="8475"/>
      </w:tblGrid>
      <w:tr w:rsidR="00D63A46" w:rsidRPr="00280C07" w:rsidTr="00177ECC">
        <w:trPr>
          <w:tblCellSpacing w:w="7" w:type="dxa"/>
          <w:jc w:val="center"/>
        </w:trPr>
        <w:tc>
          <w:tcPr>
            <w:tcW w:w="0" w:type="auto"/>
            <w:vAlign w:val="center"/>
            <w:hideMark/>
          </w:tcPr>
          <w:p w:rsidR="00D63A46" w:rsidRDefault="00D63A46" w:rsidP="00177ECC">
            <w:pPr>
              <w:spacing w:after="0" w:line="240" w:lineRule="auto"/>
              <w:rPr>
                <w:rFonts w:ascii="Times New Roman" w:eastAsia="Times New Roman" w:hAnsi="Times New Roman" w:cs="Times New Roman"/>
                <w:b/>
                <w:bCs/>
                <w:sz w:val="24"/>
                <w:szCs w:val="24"/>
                <w:lang w:eastAsia="pl-PL"/>
              </w:rPr>
            </w:pPr>
          </w:p>
          <w:p w:rsidR="00D63A46" w:rsidRPr="00280C07" w:rsidRDefault="00D63A46" w:rsidP="00177ECC">
            <w:pPr>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                                                        Wojewódzki Sąd Administracyjny w Bydgoszczy</w:t>
            </w:r>
          </w:p>
        </w:tc>
      </w:tr>
      <w:tr w:rsidR="00D63A46" w:rsidRPr="00280C07" w:rsidTr="00177ECC">
        <w:trPr>
          <w:tblCellSpacing w:w="7" w:type="dxa"/>
          <w:jc w:val="center"/>
        </w:trPr>
        <w:tc>
          <w:tcPr>
            <w:tcW w:w="0" w:type="auto"/>
            <w:vAlign w:val="center"/>
            <w:hideMark/>
          </w:tcPr>
          <w:p w:rsidR="00D63A46" w:rsidRPr="00280C07" w:rsidRDefault="00D63A46" w:rsidP="00177ECC">
            <w:pPr>
              <w:spacing w:after="0" w:line="240" w:lineRule="auto"/>
              <w:rPr>
                <w:rFonts w:ascii="Times New Roman" w:eastAsia="Times New Roman" w:hAnsi="Times New Roman" w:cs="Times New Roman"/>
                <w:b/>
                <w:bCs/>
                <w:sz w:val="24"/>
                <w:szCs w:val="24"/>
                <w:lang w:eastAsia="pl-PL"/>
              </w:rPr>
            </w:pPr>
            <w:r w:rsidRPr="00280C07">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
                <w:bCs/>
                <w:sz w:val="24"/>
                <w:szCs w:val="24"/>
                <w:lang w:eastAsia="pl-PL"/>
              </w:rPr>
              <w:t xml:space="preserve">       </w:t>
            </w:r>
            <w:r w:rsidRPr="00280C07">
              <w:rPr>
                <w:rFonts w:ascii="Times New Roman" w:eastAsia="Times New Roman" w:hAnsi="Times New Roman" w:cs="Times New Roman"/>
                <w:b/>
                <w:bCs/>
                <w:sz w:val="24"/>
                <w:szCs w:val="24"/>
                <w:lang w:eastAsia="pl-PL"/>
              </w:rPr>
              <w:t xml:space="preserve">ul. </w:t>
            </w:r>
            <w:r>
              <w:rPr>
                <w:rFonts w:ascii="Times New Roman" w:eastAsia="Times New Roman" w:hAnsi="Times New Roman" w:cs="Times New Roman"/>
                <w:b/>
                <w:bCs/>
                <w:sz w:val="24"/>
                <w:szCs w:val="24"/>
                <w:lang w:eastAsia="pl-PL"/>
              </w:rPr>
              <w:t>Jana Kazimierza 5</w:t>
            </w:r>
          </w:p>
          <w:p w:rsidR="00D63A46" w:rsidRPr="00280C07" w:rsidRDefault="00D63A46" w:rsidP="00177ECC">
            <w:pPr>
              <w:spacing w:after="0" w:line="240" w:lineRule="auto"/>
              <w:rPr>
                <w:rFonts w:ascii="Times New Roman" w:eastAsia="Times New Roman" w:hAnsi="Times New Roman" w:cs="Times New Roman"/>
                <w:sz w:val="24"/>
                <w:szCs w:val="24"/>
                <w:lang w:eastAsia="pl-PL"/>
              </w:rPr>
            </w:pPr>
            <w:r w:rsidRPr="00280C07">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
                <w:bCs/>
                <w:sz w:val="24"/>
                <w:szCs w:val="24"/>
                <w:lang w:eastAsia="pl-PL"/>
              </w:rPr>
              <w:t xml:space="preserve">       </w:t>
            </w:r>
            <w:r w:rsidRPr="00280C07">
              <w:rPr>
                <w:rFonts w:ascii="Times New Roman" w:eastAsia="Times New Roman" w:hAnsi="Times New Roman" w:cs="Times New Roman"/>
                <w:b/>
                <w:bCs/>
                <w:sz w:val="24"/>
                <w:szCs w:val="24"/>
                <w:lang w:eastAsia="pl-PL"/>
              </w:rPr>
              <w:t>85-0</w:t>
            </w:r>
            <w:r>
              <w:rPr>
                <w:rFonts w:ascii="Times New Roman" w:eastAsia="Times New Roman" w:hAnsi="Times New Roman" w:cs="Times New Roman"/>
                <w:b/>
                <w:bCs/>
                <w:sz w:val="24"/>
                <w:szCs w:val="24"/>
                <w:lang w:eastAsia="pl-PL"/>
              </w:rPr>
              <w:t>35</w:t>
            </w:r>
            <w:r w:rsidRPr="00280C07">
              <w:rPr>
                <w:rFonts w:ascii="Times New Roman" w:eastAsia="Times New Roman" w:hAnsi="Times New Roman" w:cs="Times New Roman"/>
                <w:b/>
                <w:bCs/>
                <w:sz w:val="24"/>
                <w:szCs w:val="24"/>
                <w:lang w:eastAsia="pl-PL"/>
              </w:rPr>
              <w:t xml:space="preserve"> Bydgoszcz</w:t>
            </w:r>
          </w:p>
        </w:tc>
      </w:tr>
      <w:tr w:rsidR="00D63A46" w:rsidRPr="00280C07" w:rsidTr="00177ECC">
        <w:trPr>
          <w:tblCellSpacing w:w="7" w:type="dxa"/>
          <w:jc w:val="center"/>
        </w:trPr>
        <w:tc>
          <w:tcPr>
            <w:tcW w:w="0" w:type="auto"/>
            <w:vAlign w:val="center"/>
          </w:tcPr>
          <w:p w:rsidR="00D63A46" w:rsidRPr="00280C07" w:rsidRDefault="00D63A46" w:rsidP="00177ECC">
            <w:pPr>
              <w:spacing w:after="0" w:line="240" w:lineRule="auto"/>
              <w:rPr>
                <w:rFonts w:ascii="Times New Roman" w:eastAsia="Times New Roman" w:hAnsi="Times New Roman" w:cs="Times New Roman"/>
                <w:b/>
                <w:bCs/>
                <w:sz w:val="24"/>
                <w:szCs w:val="24"/>
                <w:lang w:eastAsia="pl-PL"/>
              </w:rPr>
            </w:pPr>
          </w:p>
        </w:tc>
      </w:tr>
      <w:tr w:rsidR="00D63A46" w:rsidRPr="00280C07" w:rsidTr="00177ECC">
        <w:trPr>
          <w:tblCellSpacing w:w="7" w:type="dxa"/>
          <w:jc w:val="center"/>
        </w:trPr>
        <w:tc>
          <w:tcPr>
            <w:tcW w:w="0" w:type="auto"/>
            <w:vAlign w:val="center"/>
          </w:tcPr>
          <w:p w:rsidR="00D63A46" w:rsidRPr="00280C07" w:rsidRDefault="00D63A46" w:rsidP="00177ECC">
            <w:pPr>
              <w:spacing w:after="0" w:line="240" w:lineRule="auto"/>
              <w:rPr>
                <w:rFonts w:ascii="Times New Roman" w:eastAsia="Times New Roman" w:hAnsi="Times New Roman" w:cs="Times New Roman"/>
                <w:b/>
                <w:bCs/>
                <w:sz w:val="24"/>
                <w:szCs w:val="24"/>
                <w:lang w:eastAsia="pl-PL"/>
              </w:rPr>
            </w:pPr>
          </w:p>
        </w:tc>
      </w:tr>
    </w:tbl>
    <w:p w:rsidR="00D63A46" w:rsidRPr="00790F03" w:rsidRDefault="00D63A46" w:rsidP="00D63A46">
      <w:pPr>
        <w:spacing w:after="0" w:line="240" w:lineRule="auto"/>
        <w:ind w:left="3540"/>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 xml:space="preserve">   Skarżący: </w:t>
      </w:r>
      <w:r>
        <w:rPr>
          <w:rFonts w:ascii="Times New Roman" w:eastAsia="Times New Roman" w:hAnsi="Times New Roman" w:cs="Times New Roman"/>
          <w:bCs/>
          <w:sz w:val="24"/>
          <w:szCs w:val="24"/>
          <w:lang w:eastAsia="pl-PL"/>
        </w:rPr>
        <w:t>Wojewoda Kujawsko-Pomorski,</w:t>
      </w:r>
    </w:p>
    <w:p w:rsidR="00D63A46" w:rsidRDefault="00D63A46" w:rsidP="00D63A46">
      <w:pPr>
        <w:spacing w:after="0" w:line="240" w:lineRule="auto"/>
        <w:ind w:left="2832" w:firstLine="708"/>
        <w:rPr>
          <w:rFonts w:ascii="Times New Roman" w:eastAsia="Times New Roman" w:hAnsi="Times New Roman" w:cs="Times New Roman"/>
          <w:b/>
          <w:bCs/>
          <w:sz w:val="24"/>
          <w:szCs w:val="24"/>
          <w:lang w:eastAsia="pl-PL"/>
        </w:rPr>
      </w:pPr>
    </w:p>
    <w:p w:rsidR="00D63A46" w:rsidRDefault="00D63A46" w:rsidP="00D63A46">
      <w:pPr>
        <w:spacing w:after="0" w:line="240" w:lineRule="auto"/>
        <w:ind w:left="2832" w:firstLine="708"/>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   Organ: </w:t>
      </w:r>
      <w:r>
        <w:rPr>
          <w:rFonts w:ascii="Times New Roman" w:eastAsia="Times New Roman" w:hAnsi="Times New Roman" w:cs="Times New Roman"/>
          <w:bCs/>
          <w:sz w:val="24"/>
          <w:szCs w:val="24"/>
          <w:lang w:eastAsia="pl-PL"/>
        </w:rPr>
        <w:t xml:space="preserve">Rada Gminy </w:t>
      </w:r>
      <w:r>
        <w:rPr>
          <w:rFonts w:ascii="Times New Roman" w:eastAsia="Times New Roman" w:hAnsi="Times New Roman" w:cs="Times New Roman"/>
          <w:sz w:val="24"/>
          <w:szCs w:val="24"/>
          <w:lang w:eastAsia="pl-PL"/>
        </w:rPr>
        <w:t>Nowa Wieś Wielka.</w:t>
      </w:r>
    </w:p>
    <w:p w:rsidR="00D63A46" w:rsidRPr="00EA3F52" w:rsidRDefault="00D63A46" w:rsidP="00D63A4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WIR.II</w:t>
      </w:r>
      <w:r w:rsidRPr="00EA3F52">
        <w:rPr>
          <w:rFonts w:ascii="Times New Roman" w:hAnsi="Times New Roman" w:cs="Times New Roman"/>
          <w:b/>
          <w:sz w:val="24"/>
          <w:szCs w:val="24"/>
        </w:rPr>
        <w:t>7</w:t>
      </w:r>
      <w:r>
        <w:rPr>
          <w:rFonts w:ascii="Times New Roman" w:hAnsi="Times New Roman" w:cs="Times New Roman"/>
          <w:b/>
          <w:sz w:val="24"/>
          <w:szCs w:val="24"/>
        </w:rPr>
        <w:t>43</w:t>
      </w:r>
      <w:r w:rsidRPr="00EA3F52">
        <w:rPr>
          <w:rFonts w:ascii="Times New Roman" w:hAnsi="Times New Roman" w:cs="Times New Roman"/>
          <w:b/>
          <w:sz w:val="24"/>
          <w:szCs w:val="24"/>
        </w:rPr>
        <w:t>.</w:t>
      </w:r>
      <w:r>
        <w:rPr>
          <w:rFonts w:ascii="Times New Roman" w:hAnsi="Times New Roman" w:cs="Times New Roman"/>
          <w:b/>
          <w:sz w:val="24"/>
          <w:szCs w:val="24"/>
        </w:rPr>
        <w:t>4.70.2019.JS</w:t>
      </w:r>
    </w:p>
    <w:p w:rsidR="00D63A46" w:rsidRDefault="00D63A46" w:rsidP="00D63A46">
      <w:pPr>
        <w:spacing w:after="0" w:line="240" w:lineRule="auto"/>
        <w:ind w:left="2832" w:firstLine="708"/>
      </w:pPr>
    </w:p>
    <w:p w:rsidR="00D63A46" w:rsidRDefault="00D63A46" w:rsidP="00D63A46">
      <w:pPr>
        <w:spacing w:after="0" w:line="240" w:lineRule="auto"/>
        <w:ind w:left="2832" w:firstLine="708"/>
        <w:rPr>
          <w:rFonts w:ascii="Times New Roman" w:hAnsi="Times New Roman" w:cs="Times New Roman"/>
          <w:b/>
          <w:sz w:val="24"/>
          <w:szCs w:val="24"/>
        </w:rPr>
      </w:pPr>
      <w:r w:rsidRPr="00790F03">
        <w:rPr>
          <w:rFonts w:ascii="Times New Roman" w:hAnsi="Times New Roman" w:cs="Times New Roman"/>
          <w:b/>
          <w:sz w:val="24"/>
          <w:szCs w:val="24"/>
        </w:rPr>
        <w:t>Odpowiedź na skargę</w:t>
      </w:r>
    </w:p>
    <w:p w:rsidR="00D63A46" w:rsidRDefault="00D63A46" w:rsidP="00D63A46">
      <w:pPr>
        <w:spacing w:after="0" w:line="240" w:lineRule="auto"/>
        <w:jc w:val="both"/>
        <w:rPr>
          <w:rFonts w:ascii="Times New Roman" w:hAnsi="Times New Roman" w:cs="Times New Roman"/>
          <w:sz w:val="24"/>
          <w:szCs w:val="24"/>
        </w:rPr>
      </w:pPr>
      <w:r w:rsidRPr="008D47F3">
        <w:rPr>
          <w:rFonts w:ascii="Times New Roman" w:hAnsi="Times New Roman" w:cs="Times New Roman"/>
          <w:sz w:val="24"/>
          <w:szCs w:val="24"/>
        </w:rPr>
        <w:t>Zgodnie z art. 54 § 1 i 2 ustawy z dnia 30 sierpnia 2002 r. – Prawo o postępowaniu przed</w:t>
      </w:r>
      <w:r>
        <w:rPr>
          <w:rFonts w:ascii="Times New Roman" w:hAnsi="Times New Roman" w:cs="Times New Roman"/>
          <w:sz w:val="24"/>
          <w:szCs w:val="24"/>
        </w:rPr>
        <w:t> </w:t>
      </w:r>
      <w:r w:rsidRPr="008D47F3">
        <w:rPr>
          <w:rFonts w:ascii="Times New Roman" w:hAnsi="Times New Roman" w:cs="Times New Roman"/>
          <w:sz w:val="24"/>
          <w:szCs w:val="24"/>
        </w:rPr>
        <w:t>sądami administracyjnymi (Dz.U. z 201</w:t>
      </w:r>
      <w:r>
        <w:rPr>
          <w:rFonts w:ascii="Times New Roman" w:hAnsi="Times New Roman" w:cs="Times New Roman"/>
          <w:sz w:val="24"/>
          <w:szCs w:val="24"/>
        </w:rPr>
        <w:t>9</w:t>
      </w:r>
      <w:r w:rsidRPr="008D47F3">
        <w:rPr>
          <w:rFonts w:ascii="Times New Roman" w:hAnsi="Times New Roman" w:cs="Times New Roman"/>
          <w:sz w:val="24"/>
          <w:szCs w:val="24"/>
        </w:rPr>
        <w:t xml:space="preserve"> r. poz. </w:t>
      </w:r>
      <w:r>
        <w:rPr>
          <w:rFonts w:ascii="Times New Roman" w:hAnsi="Times New Roman" w:cs="Times New Roman"/>
          <w:sz w:val="24"/>
          <w:szCs w:val="24"/>
        </w:rPr>
        <w:t>2</w:t>
      </w:r>
      <w:r w:rsidRPr="008D47F3">
        <w:rPr>
          <w:rFonts w:ascii="Times New Roman" w:hAnsi="Times New Roman" w:cs="Times New Roman"/>
          <w:sz w:val="24"/>
          <w:szCs w:val="24"/>
        </w:rPr>
        <w:t>32</w:t>
      </w:r>
      <w:r>
        <w:rPr>
          <w:rFonts w:ascii="Times New Roman" w:hAnsi="Times New Roman" w:cs="Times New Roman"/>
          <w:sz w:val="24"/>
          <w:szCs w:val="24"/>
        </w:rPr>
        <w:t>5</w:t>
      </w:r>
      <w:r w:rsidRPr="008D47F3">
        <w:rPr>
          <w:rFonts w:ascii="Times New Roman" w:hAnsi="Times New Roman" w:cs="Times New Roman"/>
          <w:sz w:val="24"/>
          <w:szCs w:val="24"/>
        </w:rPr>
        <w:t>),</w:t>
      </w:r>
      <w:r>
        <w:rPr>
          <w:rFonts w:ascii="Times New Roman" w:hAnsi="Times New Roman" w:cs="Times New Roman"/>
          <w:sz w:val="24"/>
          <w:szCs w:val="24"/>
        </w:rPr>
        <w:t xml:space="preserve"> </w:t>
      </w:r>
      <w:r w:rsidRPr="008D47F3">
        <w:rPr>
          <w:rFonts w:ascii="Times New Roman" w:hAnsi="Times New Roman" w:cs="Times New Roman"/>
          <w:sz w:val="24"/>
          <w:szCs w:val="24"/>
        </w:rPr>
        <w:t>zwanej dalej „ppsa”, przekazuj</w:t>
      </w:r>
      <w:r>
        <w:rPr>
          <w:rFonts w:ascii="Times New Roman" w:hAnsi="Times New Roman" w:cs="Times New Roman"/>
          <w:sz w:val="24"/>
          <w:szCs w:val="24"/>
        </w:rPr>
        <w:t>ąc</w:t>
      </w:r>
      <w:r w:rsidRPr="008D47F3">
        <w:rPr>
          <w:rFonts w:ascii="Times New Roman" w:hAnsi="Times New Roman" w:cs="Times New Roman"/>
          <w:sz w:val="24"/>
          <w:szCs w:val="24"/>
        </w:rPr>
        <w:t xml:space="preserve"> skargę s</w:t>
      </w:r>
      <w:r w:rsidRPr="008D47F3">
        <w:rPr>
          <w:rFonts w:ascii="Times New Roman" w:eastAsia="Times New Roman" w:hAnsi="Times New Roman" w:cs="Times New Roman"/>
          <w:bCs/>
          <w:sz w:val="24"/>
          <w:szCs w:val="24"/>
          <w:lang w:eastAsia="pl-PL"/>
        </w:rPr>
        <w:t>karżącego</w:t>
      </w:r>
      <w:r w:rsidRPr="008D47F3">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Cs/>
          <w:sz w:val="24"/>
          <w:szCs w:val="24"/>
          <w:lang w:eastAsia="pl-PL"/>
        </w:rPr>
        <w:t>Wojewody Kujawsko-Pomorskiego</w:t>
      </w:r>
      <w:r w:rsidRPr="008D47F3">
        <w:rPr>
          <w:rFonts w:ascii="Times New Roman" w:eastAsia="Times New Roman" w:hAnsi="Times New Roman" w:cs="Times New Roman"/>
          <w:bCs/>
          <w:sz w:val="24"/>
          <w:szCs w:val="24"/>
          <w:lang w:eastAsia="pl-PL"/>
        </w:rPr>
        <w:t xml:space="preserve"> </w:t>
      </w:r>
      <w:r w:rsidRPr="008D47F3">
        <w:rPr>
          <w:rFonts w:ascii="Times New Roman" w:hAnsi="Times New Roman" w:cs="Times New Roman"/>
          <w:sz w:val="24"/>
          <w:szCs w:val="24"/>
        </w:rPr>
        <w:t>wraz z niniejszą odpowiedzią w terminie trzydziestu dni od dnia jej</w:t>
      </w:r>
      <w:r>
        <w:rPr>
          <w:rFonts w:ascii="Times New Roman" w:hAnsi="Times New Roman" w:cs="Times New Roman"/>
          <w:sz w:val="24"/>
          <w:szCs w:val="24"/>
        </w:rPr>
        <w:t> </w:t>
      </w:r>
      <w:r w:rsidRPr="008D47F3">
        <w:rPr>
          <w:rFonts w:ascii="Times New Roman" w:hAnsi="Times New Roman" w:cs="Times New Roman"/>
          <w:sz w:val="24"/>
          <w:szCs w:val="24"/>
        </w:rPr>
        <w:t>otrzymania, tj.</w:t>
      </w:r>
      <w:r>
        <w:rPr>
          <w:rFonts w:ascii="Times New Roman" w:hAnsi="Times New Roman" w:cs="Times New Roman"/>
          <w:sz w:val="24"/>
          <w:szCs w:val="24"/>
        </w:rPr>
        <w:t> </w:t>
      </w:r>
      <w:r w:rsidRPr="008D47F3">
        <w:rPr>
          <w:rFonts w:ascii="Times New Roman" w:hAnsi="Times New Roman" w:cs="Times New Roman"/>
          <w:sz w:val="24"/>
          <w:szCs w:val="24"/>
        </w:rPr>
        <w:t xml:space="preserve">dnia </w:t>
      </w:r>
      <w:r>
        <w:rPr>
          <w:rFonts w:ascii="Times New Roman" w:hAnsi="Times New Roman" w:cs="Times New Roman"/>
          <w:sz w:val="24"/>
          <w:szCs w:val="24"/>
        </w:rPr>
        <w:t xml:space="preserve">6 kwietnia </w:t>
      </w:r>
      <w:r w:rsidRPr="008D47F3">
        <w:rPr>
          <w:rFonts w:ascii="Times New Roman" w:hAnsi="Times New Roman" w:cs="Times New Roman"/>
          <w:sz w:val="24"/>
          <w:szCs w:val="24"/>
        </w:rPr>
        <w:t>20</w:t>
      </w:r>
      <w:r>
        <w:rPr>
          <w:rFonts w:ascii="Times New Roman" w:hAnsi="Times New Roman" w:cs="Times New Roman"/>
          <w:sz w:val="24"/>
          <w:szCs w:val="24"/>
        </w:rPr>
        <w:t>20</w:t>
      </w:r>
      <w:r w:rsidRPr="008D47F3">
        <w:rPr>
          <w:rFonts w:ascii="Times New Roman" w:hAnsi="Times New Roman" w:cs="Times New Roman"/>
          <w:sz w:val="24"/>
          <w:szCs w:val="24"/>
        </w:rPr>
        <w:t xml:space="preserve"> r.</w:t>
      </w:r>
      <w:r>
        <w:rPr>
          <w:rFonts w:ascii="Times New Roman" w:hAnsi="Times New Roman" w:cs="Times New Roman"/>
          <w:sz w:val="24"/>
          <w:szCs w:val="24"/>
        </w:rPr>
        <w:t>, wnoszę o:</w:t>
      </w:r>
    </w:p>
    <w:p w:rsidR="00D63A46" w:rsidRDefault="00D63A46" w:rsidP="00D63A46">
      <w:pPr>
        <w:spacing w:after="0" w:line="240" w:lineRule="auto"/>
        <w:jc w:val="both"/>
        <w:rPr>
          <w:rFonts w:ascii="Times New Roman" w:hAnsi="Times New Roman" w:cs="Times New Roman"/>
          <w:sz w:val="24"/>
          <w:szCs w:val="24"/>
        </w:rPr>
      </w:pPr>
    </w:p>
    <w:p w:rsidR="00D63A46" w:rsidRDefault="00D63A46" w:rsidP="00D63A46">
      <w:pPr>
        <w:spacing w:after="0" w:line="240" w:lineRule="auto"/>
        <w:jc w:val="both"/>
        <w:rPr>
          <w:rFonts w:ascii="Times New Roman" w:hAnsi="Times New Roman" w:cs="Times New Roman"/>
          <w:sz w:val="24"/>
          <w:szCs w:val="24"/>
        </w:rPr>
      </w:pPr>
      <w:r w:rsidRPr="00697297">
        <w:rPr>
          <w:rFonts w:ascii="Times New Roman" w:hAnsi="Times New Roman" w:cs="Times New Roman"/>
          <w:sz w:val="24"/>
          <w:szCs w:val="24"/>
        </w:rPr>
        <w:t xml:space="preserve">1. oddalenie skargi w całości, </w:t>
      </w:r>
    </w:p>
    <w:p w:rsidR="00D63A46" w:rsidRDefault="00D63A46" w:rsidP="00D63A46">
      <w:pPr>
        <w:spacing w:after="0" w:line="240" w:lineRule="auto"/>
        <w:jc w:val="both"/>
        <w:rPr>
          <w:rFonts w:ascii="Times New Roman" w:hAnsi="Times New Roman" w:cs="Times New Roman"/>
          <w:sz w:val="24"/>
          <w:szCs w:val="24"/>
        </w:rPr>
      </w:pPr>
    </w:p>
    <w:p w:rsidR="00D63A46" w:rsidRPr="00697297" w:rsidRDefault="00D63A46" w:rsidP="00D63A46">
      <w:pPr>
        <w:spacing w:after="0" w:line="240" w:lineRule="auto"/>
        <w:jc w:val="both"/>
        <w:rPr>
          <w:rFonts w:ascii="Times New Roman" w:hAnsi="Times New Roman" w:cs="Times New Roman"/>
          <w:sz w:val="24"/>
          <w:szCs w:val="24"/>
        </w:rPr>
      </w:pPr>
      <w:r w:rsidRPr="00697297">
        <w:rPr>
          <w:rFonts w:ascii="Times New Roman" w:hAnsi="Times New Roman" w:cs="Times New Roman"/>
          <w:sz w:val="24"/>
          <w:szCs w:val="24"/>
        </w:rPr>
        <w:t>lub</w:t>
      </w:r>
    </w:p>
    <w:p w:rsidR="00D63A46" w:rsidRPr="00697297" w:rsidRDefault="00D63A46" w:rsidP="00D63A46">
      <w:pPr>
        <w:spacing w:after="0" w:line="240" w:lineRule="auto"/>
        <w:jc w:val="both"/>
        <w:rPr>
          <w:rFonts w:ascii="Times New Roman" w:hAnsi="Times New Roman" w:cs="Times New Roman"/>
          <w:sz w:val="24"/>
          <w:szCs w:val="24"/>
        </w:rPr>
      </w:pPr>
    </w:p>
    <w:p w:rsidR="00D63A46" w:rsidRPr="00697297" w:rsidRDefault="00D63A46" w:rsidP="00D63A46">
      <w:pPr>
        <w:spacing w:after="0" w:line="240" w:lineRule="auto"/>
        <w:jc w:val="both"/>
        <w:rPr>
          <w:rFonts w:ascii="Times New Roman" w:hAnsi="Times New Roman" w:cs="Times New Roman"/>
          <w:sz w:val="24"/>
          <w:szCs w:val="24"/>
        </w:rPr>
      </w:pPr>
      <w:r w:rsidRPr="00697297">
        <w:rPr>
          <w:rFonts w:ascii="Times New Roman" w:hAnsi="Times New Roman" w:cs="Times New Roman"/>
          <w:sz w:val="24"/>
          <w:szCs w:val="24"/>
        </w:rPr>
        <w:t>2. stwierdzenie, że uchwała została wydana z naruszeniem prawa,</w:t>
      </w:r>
    </w:p>
    <w:p w:rsidR="00D63A46" w:rsidRPr="00697297" w:rsidRDefault="00D63A46" w:rsidP="00D63A46">
      <w:pPr>
        <w:spacing w:after="0" w:line="240" w:lineRule="auto"/>
        <w:jc w:val="both"/>
        <w:rPr>
          <w:rFonts w:ascii="Times New Roman" w:hAnsi="Times New Roman" w:cs="Times New Roman"/>
          <w:sz w:val="24"/>
          <w:szCs w:val="24"/>
        </w:rPr>
      </w:pPr>
    </w:p>
    <w:p w:rsidR="00D63A46" w:rsidRPr="00697297" w:rsidRDefault="00D63A46" w:rsidP="00D63A46">
      <w:pPr>
        <w:spacing w:after="0" w:line="240" w:lineRule="auto"/>
        <w:jc w:val="both"/>
        <w:rPr>
          <w:rFonts w:ascii="Times New Roman" w:hAnsi="Times New Roman" w:cs="Times New Roman"/>
          <w:sz w:val="24"/>
          <w:szCs w:val="24"/>
        </w:rPr>
      </w:pPr>
      <w:r w:rsidRPr="00697297">
        <w:rPr>
          <w:rFonts w:ascii="Times New Roman" w:hAnsi="Times New Roman" w:cs="Times New Roman"/>
          <w:sz w:val="24"/>
          <w:szCs w:val="24"/>
        </w:rPr>
        <w:t>lub</w:t>
      </w:r>
    </w:p>
    <w:p w:rsidR="00D63A46" w:rsidRPr="00697297" w:rsidRDefault="00D63A46" w:rsidP="00D63A46">
      <w:pPr>
        <w:spacing w:after="0" w:line="240" w:lineRule="auto"/>
        <w:jc w:val="both"/>
        <w:rPr>
          <w:rFonts w:ascii="Times New Roman" w:hAnsi="Times New Roman" w:cs="Times New Roman"/>
          <w:sz w:val="24"/>
          <w:szCs w:val="24"/>
        </w:rPr>
      </w:pPr>
    </w:p>
    <w:p w:rsidR="00D63A46" w:rsidRPr="00697297" w:rsidRDefault="00D63A46" w:rsidP="00D63A46">
      <w:pPr>
        <w:spacing w:after="0" w:line="240" w:lineRule="auto"/>
        <w:jc w:val="both"/>
        <w:rPr>
          <w:rFonts w:ascii="Times New Roman" w:hAnsi="Times New Roman" w:cs="Times New Roman"/>
          <w:sz w:val="24"/>
          <w:szCs w:val="24"/>
        </w:rPr>
      </w:pPr>
      <w:r w:rsidRPr="00697297">
        <w:rPr>
          <w:rFonts w:ascii="Times New Roman" w:hAnsi="Times New Roman" w:cs="Times New Roman"/>
          <w:sz w:val="24"/>
          <w:szCs w:val="24"/>
        </w:rPr>
        <w:t xml:space="preserve">3. stwierdzenie nieważności </w:t>
      </w:r>
      <w:r>
        <w:rPr>
          <w:rFonts w:ascii="Times New Roman" w:hAnsi="Times New Roman" w:cs="Times New Roman"/>
          <w:sz w:val="24"/>
          <w:szCs w:val="24"/>
        </w:rPr>
        <w:t xml:space="preserve">uchwały </w:t>
      </w:r>
      <w:r w:rsidRPr="00697297">
        <w:rPr>
          <w:rFonts w:ascii="Times New Roman" w:hAnsi="Times New Roman" w:cs="Times New Roman"/>
          <w:sz w:val="24"/>
          <w:szCs w:val="24"/>
        </w:rPr>
        <w:t xml:space="preserve">w części, tj. </w:t>
      </w:r>
      <w:r>
        <w:rPr>
          <w:rFonts w:ascii="Times New Roman" w:hAnsi="Times New Roman" w:cs="Times New Roman"/>
          <w:sz w:val="24"/>
          <w:szCs w:val="24"/>
        </w:rPr>
        <w:t xml:space="preserve">w </w:t>
      </w:r>
      <w:r w:rsidRPr="00697297">
        <w:rPr>
          <w:rFonts w:ascii="Times New Roman" w:hAnsi="Times New Roman" w:cs="Times New Roman"/>
          <w:sz w:val="24"/>
          <w:szCs w:val="24"/>
        </w:rPr>
        <w:t xml:space="preserve">§ 10 lit. e  i </w:t>
      </w:r>
      <w:r>
        <w:rPr>
          <w:rFonts w:ascii="Times New Roman" w:hAnsi="Times New Roman" w:cs="Times New Roman"/>
          <w:sz w:val="24"/>
          <w:szCs w:val="24"/>
        </w:rPr>
        <w:t xml:space="preserve">w </w:t>
      </w:r>
      <w:r w:rsidRPr="00697297">
        <w:rPr>
          <w:rFonts w:ascii="Times New Roman" w:hAnsi="Times New Roman" w:cs="Times New Roman"/>
          <w:sz w:val="24"/>
          <w:szCs w:val="24"/>
        </w:rPr>
        <w:t>§ 19 pkt 9, a w pozostałej części oddalenie skargi.</w:t>
      </w:r>
    </w:p>
    <w:p w:rsidR="00D63A46" w:rsidRPr="009C7F9A" w:rsidRDefault="00D63A46" w:rsidP="00D63A46">
      <w:pPr>
        <w:spacing w:after="0" w:line="240" w:lineRule="auto"/>
        <w:jc w:val="both"/>
        <w:rPr>
          <w:rFonts w:ascii="Times New Roman" w:hAnsi="Times New Roman" w:cs="Times New Roman"/>
          <w:sz w:val="24"/>
          <w:szCs w:val="24"/>
        </w:rPr>
      </w:pPr>
    </w:p>
    <w:p w:rsidR="00D63A46" w:rsidRPr="00740629" w:rsidRDefault="00D63A46" w:rsidP="00D63A46">
      <w:pPr>
        <w:tabs>
          <w:tab w:val="left" w:pos="2016"/>
        </w:tabs>
        <w:spacing w:after="0" w:line="240" w:lineRule="auto"/>
        <w:jc w:val="center"/>
        <w:rPr>
          <w:rFonts w:ascii="Times New Roman" w:eastAsia="Times New Roman" w:hAnsi="Times New Roman" w:cs="Times New Roman"/>
          <w:b/>
          <w:sz w:val="24"/>
          <w:szCs w:val="24"/>
          <w:lang w:eastAsia="pl-PL"/>
        </w:rPr>
      </w:pPr>
      <w:r w:rsidRPr="00740629">
        <w:rPr>
          <w:rFonts w:ascii="Times New Roman" w:eastAsia="Times New Roman" w:hAnsi="Times New Roman" w:cs="Times New Roman"/>
          <w:b/>
          <w:sz w:val="24"/>
          <w:szCs w:val="24"/>
          <w:lang w:eastAsia="pl-PL"/>
        </w:rPr>
        <w:t>Uzasadnienie</w:t>
      </w:r>
    </w:p>
    <w:p w:rsidR="00D63A46" w:rsidRDefault="00D63A46" w:rsidP="00D63A46">
      <w:pPr>
        <w:pStyle w:val="NormalnyWeb"/>
        <w:spacing w:after="0" w:line="240" w:lineRule="auto"/>
        <w:jc w:val="both"/>
      </w:pPr>
      <w:r w:rsidRPr="007A3B8B">
        <w:rPr>
          <w:b/>
        </w:rPr>
        <w:t>1.</w:t>
      </w:r>
      <w:r>
        <w:t xml:space="preserve"> W odpowiedzi na skargę Wojewody Kujawsko-Pomorskiego z dnia 6 kwietnia 2020 r., dotyczącą stwierdzenia nieważności w całości uchwały Nr VII/65/19 Rady Gminy Nowa Wieś Wielka z dnia 21 maja 2019 r. w sprawie miejscowego planu zagospodarowania przestrzennego dla miejscowości Brzoza-część ul. Bydgoskiej (Dz. Urz. Woj. Kuj-Pom. poz. 3131), wnoszę o jej oddalenie w całości jako bezzasadnej.</w:t>
      </w:r>
    </w:p>
    <w:p w:rsidR="00D63A46" w:rsidRPr="00B0201A" w:rsidRDefault="00D63A46" w:rsidP="00D63A46">
      <w:pPr>
        <w:spacing w:after="0" w:line="240" w:lineRule="auto"/>
        <w:jc w:val="both"/>
        <w:rPr>
          <w:rFonts w:ascii="Times New Roman" w:hAnsi="Times New Roman" w:cs="Times New Roman"/>
          <w:color w:val="000000" w:themeColor="text1"/>
          <w:spacing w:val="-3"/>
          <w:sz w:val="24"/>
          <w:szCs w:val="24"/>
        </w:rPr>
      </w:pPr>
    </w:p>
    <w:p w:rsidR="00D63A46" w:rsidRPr="00B0201A" w:rsidRDefault="00D63A46" w:rsidP="00D63A46">
      <w:pPr>
        <w:spacing w:after="0" w:line="240" w:lineRule="auto"/>
        <w:jc w:val="both"/>
        <w:rPr>
          <w:rFonts w:ascii="Times New Roman" w:hAnsi="Times New Roman" w:cs="Times New Roman"/>
          <w:sz w:val="24"/>
          <w:szCs w:val="24"/>
        </w:rPr>
      </w:pPr>
      <w:r w:rsidRPr="007A3B8B">
        <w:rPr>
          <w:rFonts w:ascii="Times New Roman" w:hAnsi="Times New Roman" w:cs="Times New Roman"/>
          <w:b/>
          <w:color w:val="000000" w:themeColor="text1"/>
          <w:spacing w:val="-3"/>
          <w:sz w:val="24"/>
          <w:szCs w:val="24"/>
        </w:rPr>
        <w:t>2.</w:t>
      </w:r>
      <w:r>
        <w:rPr>
          <w:rFonts w:ascii="Times New Roman" w:hAnsi="Times New Roman" w:cs="Times New Roman"/>
          <w:color w:val="000000" w:themeColor="text1"/>
          <w:spacing w:val="-3"/>
          <w:sz w:val="24"/>
          <w:szCs w:val="24"/>
        </w:rPr>
        <w:t xml:space="preserve"> </w:t>
      </w:r>
      <w:r w:rsidRPr="00B0201A">
        <w:rPr>
          <w:rFonts w:ascii="Times New Roman" w:hAnsi="Times New Roman" w:cs="Times New Roman"/>
          <w:color w:val="000000" w:themeColor="text1"/>
          <w:spacing w:val="-3"/>
          <w:sz w:val="24"/>
          <w:szCs w:val="24"/>
        </w:rPr>
        <w:t xml:space="preserve">W przypadku, gdyby Wojewódzki Sąd Administracyjny w Bydgoszczy nie podzielił i tego stanowiska organu, Rada Gminy Nowa Wieś Wielka wnosi o </w:t>
      </w:r>
      <w:r w:rsidRPr="00B0201A">
        <w:rPr>
          <w:rFonts w:ascii="Times New Roman" w:hAnsi="Times New Roman" w:cs="Times New Roman"/>
          <w:sz w:val="24"/>
          <w:szCs w:val="24"/>
        </w:rPr>
        <w:t xml:space="preserve">stwierdzenie w orzeczeniu, że została ona wydana z naruszeniem prawa. Jeżeli bowiem w tym stanie faktycznym i prawnym mielibyśmy do czynienia z naruszeniem prawa, to jest to naruszenie nieistotne, co uzasadnia z kolei wniosek zawarty w pkt 2 petitum odpowiedzi na skargę. </w:t>
      </w:r>
      <w:r>
        <w:rPr>
          <w:rFonts w:ascii="Times New Roman" w:hAnsi="Times New Roman" w:cs="Times New Roman"/>
          <w:sz w:val="24"/>
          <w:szCs w:val="24"/>
        </w:rPr>
        <w:t>W zakresie nieistotności uzasadnienie do tej okoliczności zawarte jest w dalszej części uzasadnienia.</w:t>
      </w:r>
    </w:p>
    <w:p w:rsidR="00D63A46" w:rsidRPr="007A3B8B" w:rsidRDefault="00D63A46" w:rsidP="00D63A46">
      <w:pPr>
        <w:spacing w:after="0" w:line="240" w:lineRule="auto"/>
        <w:jc w:val="both"/>
        <w:rPr>
          <w:rFonts w:ascii="Times New Roman" w:hAnsi="Times New Roman" w:cs="Times New Roman"/>
          <w:b/>
          <w:sz w:val="24"/>
          <w:szCs w:val="24"/>
        </w:rPr>
      </w:pPr>
    </w:p>
    <w:p w:rsidR="00D63A46" w:rsidRDefault="00D63A46" w:rsidP="00D63A46">
      <w:pPr>
        <w:spacing w:after="0" w:line="240" w:lineRule="auto"/>
        <w:jc w:val="both"/>
        <w:rPr>
          <w:rFonts w:ascii="Times New Roman" w:hAnsi="Times New Roman" w:cs="Times New Roman"/>
          <w:sz w:val="24"/>
          <w:szCs w:val="24"/>
        </w:rPr>
      </w:pPr>
      <w:r w:rsidRPr="007A3B8B">
        <w:rPr>
          <w:rFonts w:ascii="Times New Roman" w:hAnsi="Times New Roman" w:cs="Times New Roman"/>
          <w:b/>
          <w:sz w:val="24"/>
          <w:szCs w:val="24"/>
        </w:rPr>
        <w:t>3.</w:t>
      </w:r>
      <w:r>
        <w:rPr>
          <w:rFonts w:ascii="Times New Roman" w:hAnsi="Times New Roman" w:cs="Times New Roman"/>
          <w:sz w:val="24"/>
          <w:szCs w:val="24"/>
        </w:rPr>
        <w:t xml:space="preserve"> </w:t>
      </w:r>
      <w:r w:rsidRPr="00B0201A">
        <w:rPr>
          <w:rFonts w:ascii="Times New Roman" w:hAnsi="Times New Roman" w:cs="Times New Roman"/>
          <w:sz w:val="24"/>
          <w:szCs w:val="24"/>
        </w:rPr>
        <w:t>Jeżeli Wojewódzki Sąd Administracyjny w Bydgoszczy</w:t>
      </w:r>
      <w:r w:rsidRPr="003726B3">
        <w:rPr>
          <w:rFonts w:ascii="Times New Roman" w:hAnsi="Times New Roman" w:cs="Times New Roman"/>
          <w:sz w:val="24"/>
          <w:szCs w:val="24"/>
        </w:rPr>
        <w:t xml:space="preserve"> nie podzieli stanowiska organu i wniosków złożonych w pk</w:t>
      </w:r>
      <w:r>
        <w:rPr>
          <w:rFonts w:ascii="Times New Roman" w:hAnsi="Times New Roman" w:cs="Times New Roman"/>
          <w:sz w:val="24"/>
          <w:szCs w:val="24"/>
        </w:rPr>
        <w:t xml:space="preserve">t </w:t>
      </w:r>
      <w:r w:rsidRPr="003726B3">
        <w:rPr>
          <w:rFonts w:ascii="Times New Roman" w:hAnsi="Times New Roman" w:cs="Times New Roman"/>
          <w:sz w:val="24"/>
          <w:szCs w:val="24"/>
        </w:rPr>
        <w:t>1 i 2 petitum odpowiedzi na skargą, wnoszę jak w pkt 3 powyżej, a mianowicie</w:t>
      </w:r>
      <w:r>
        <w:rPr>
          <w:rFonts w:ascii="Times New Roman" w:hAnsi="Times New Roman" w:cs="Times New Roman"/>
          <w:sz w:val="24"/>
          <w:szCs w:val="24"/>
        </w:rPr>
        <w:t xml:space="preserve"> </w:t>
      </w:r>
      <w:r>
        <w:t xml:space="preserve">o </w:t>
      </w:r>
      <w:r w:rsidRPr="00697297">
        <w:rPr>
          <w:rFonts w:ascii="Times New Roman" w:hAnsi="Times New Roman" w:cs="Times New Roman"/>
          <w:sz w:val="24"/>
          <w:szCs w:val="24"/>
        </w:rPr>
        <w:t xml:space="preserve">stwierdzenie nieważności </w:t>
      </w:r>
      <w:r>
        <w:rPr>
          <w:rFonts w:ascii="Times New Roman" w:hAnsi="Times New Roman" w:cs="Times New Roman"/>
          <w:sz w:val="24"/>
          <w:szCs w:val="24"/>
        </w:rPr>
        <w:t xml:space="preserve">uchwały </w:t>
      </w:r>
      <w:r w:rsidRPr="00697297">
        <w:rPr>
          <w:rFonts w:ascii="Times New Roman" w:hAnsi="Times New Roman" w:cs="Times New Roman"/>
          <w:sz w:val="24"/>
          <w:szCs w:val="24"/>
        </w:rPr>
        <w:t xml:space="preserve">w części, tj. </w:t>
      </w:r>
      <w:r>
        <w:rPr>
          <w:rFonts w:ascii="Times New Roman" w:hAnsi="Times New Roman" w:cs="Times New Roman"/>
          <w:sz w:val="24"/>
          <w:szCs w:val="24"/>
        </w:rPr>
        <w:t xml:space="preserve">w </w:t>
      </w:r>
      <w:r w:rsidRPr="00697297">
        <w:rPr>
          <w:rFonts w:ascii="Times New Roman" w:hAnsi="Times New Roman" w:cs="Times New Roman"/>
          <w:sz w:val="24"/>
          <w:szCs w:val="24"/>
        </w:rPr>
        <w:t xml:space="preserve">§ 10 lit. e  i </w:t>
      </w:r>
      <w:r>
        <w:rPr>
          <w:rFonts w:ascii="Times New Roman" w:hAnsi="Times New Roman" w:cs="Times New Roman"/>
          <w:sz w:val="24"/>
          <w:szCs w:val="24"/>
        </w:rPr>
        <w:t xml:space="preserve">w </w:t>
      </w:r>
      <w:r w:rsidRPr="00697297">
        <w:rPr>
          <w:rFonts w:ascii="Times New Roman" w:hAnsi="Times New Roman" w:cs="Times New Roman"/>
          <w:sz w:val="24"/>
          <w:szCs w:val="24"/>
        </w:rPr>
        <w:t>§ 19 pkt 9, a w pozostałej części oddalenie skargi.</w:t>
      </w:r>
    </w:p>
    <w:p w:rsidR="00D63A46" w:rsidRDefault="00D63A46" w:rsidP="00D63A46">
      <w:pPr>
        <w:spacing w:after="0" w:line="240" w:lineRule="auto"/>
        <w:jc w:val="both"/>
        <w:rPr>
          <w:rFonts w:ascii="Times New Roman" w:hAnsi="Times New Roman" w:cs="Times New Roman"/>
          <w:sz w:val="24"/>
          <w:szCs w:val="24"/>
        </w:rPr>
      </w:pPr>
    </w:p>
    <w:p w:rsidR="00D63A46" w:rsidRDefault="00D63A46" w:rsidP="00D63A46">
      <w:pPr>
        <w:spacing w:after="0" w:line="240" w:lineRule="auto"/>
        <w:jc w:val="both"/>
        <w:rPr>
          <w:rFonts w:ascii="Times New Roman" w:hAnsi="Times New Roman" w:cs="Times New Roman"/>
          <w:sz w:val="24"/>
          <w:szCs w:val="24"/>
        </w:rPr>
      </w:pPr>
      <w:r w:rsidRPr="003726B3">
        <w:rPr>
          <w:rFonts w:ascii="Times New Roman" w:hAnsi="Times New Roman" w:cs="Times New Roman"/>
          <w:sz w:val="24"/>
          <w:szCs w:val="24"/>
        </w:rPr>
        <w:t xml:space="preserve">Zgodnie z art. 15 ust. 2 pkt 10 ustawy o planowaniu i zagospodarowaniu przestrzennym, w zaskarżonej uchwale w § 19 określono zasady obsługi komunikacyjnej dla obszaru objętego planem miejscowym. W § 19 pkt 9 wprowadzono uregulowanie o </w:t>
      </w:r>
      <w:r w:rsidRPr="003726B3">
        <w:rPr>
          <w:rFonts w:ascii="Times New Roman" w:hAnsi="Times New Roman" w:cs="Times New Roman"/>
          <w:iCs/>
          <w:sz w:val="24"/>
          <w:szCs w:val="24"/>
        </w:rPr>
        <w:t>zakazie bezpośredniego powiązania drogi 1KDW z drogą KD-GP</w:t>
      </w:r>
      <w:r w:rsidRPr="003726B3">
        <w:rPr>
          <w:rFonts w:ascii="Times New Roman" w:hAnsi="Times New Roman" w:cs="Times New Roman"/>
          <w:sz w:val="24"/>
          <w:szCs w:val="24"/>
        </w:rPr>
        <w:t>, jako jeden z warunków uzyskania pozytywnego uzgodnienia z ramienia zarządcy drogi oznaczonej symbolem KD-GP, czyli Generalnej Dyrekcji Dróg Krajowych i Autostrad w Bydgoszczy. Wprowadzenie drogi 1KDW w omawianym planie miejscowym było niezbędne dla zapewnienia odpowiedniej obsługi komunikacyjnej terenów przyległych. Ulegając argumentacji przedłożonej w negatywnych uzgodnieniach przez zarządc</w:t>
      </w:r>
      <w:r>
        <w:rPr>
          <w:rFonts w:ascii="Times New Roman" w:hAnsi="Times New Roman" w:cs="Times New Roman"/>
          <w:sz w:val="24"/>
          <w:szCs w:val="24"/>
        </w:rPr>
        <w:t>ę</w:t>
      </w:r>
      <w:r w:rsidRPr="003726B3">
        <w:rPr>
          <w:rFonts w:ascii="Times New Roman" w:hAnsi="Times New Roman" w:cs="Times New Roman"/>
          <w:sz w:val="24"/>
          <w:szCs w:val="24"/>
        </w:rPr>
        <w:t xml:space="preserve"> drogi oznaczonej symbolem</w:t>
      </w:r>
      <w:r>
        <w:rPr>
          <w:rFonts w:ascii="Times New Roman" w:hAnsi="Times New Roman" w:cs="Times New Roman"/>
          <w:sz w:val="24"/>
          <w:szCs w:val="24"/>
        </w:rPr>
        <w:t xml:space="preserve"> </w:t>
      </w:r>
      <w:r w:rsidRPr="003726B3">
        <w:rPr>
          <w:rFonts w:ascii="Times New Roman" w:hAnsi="Times New Roman" w:cs="Times New Roman"/>
          <w:sz w:val="24"/>
          <w:szCs w:val="24"/>
        </w:rPr>
        <w:t>KD-GP, czyli Generalnej Dyrekcji Dróg</w:t>
      </w:r>
      <w:r>
        <w:rPr>
          <w:rFonts w:ascii="Times New Roman" w:hAnsi="Times New Roman" w:cs="Times New Roman"/>
          <w:sz w:val="24"/>
          <w:szCs w:val="24"/>
        </w:rPr>
        <w:t xml:space="preserve"> Krajowych i Autostrad</w:t>
      </w:r>
      <w:r w:rsidRPr="003726B3">
        <w:rPr>
          <w:rFonts w:ascii="Times New Roman" w:hAnsi="Times New Roman" w:cs="Times New Roman"/>
          <w:sz w:val="24"/>
          <w:szCs w:val="24"/>
        </w:rPr>
        <w:t xml:space="preserve">, wprowadzono kwestionowany w skardze Wojewody Kujawsko-Pomorskiego zapis. Warto podkreślić, że niewprowadzenie w/w zapisu do treści uchwały skutkowałoby brakiem możliwości dalszego procedowania planu miejscowego bez naruszenia prawa. Nadmienić również należy, iż art. 29 ust. 1-3 ustawy z dnia 21 marca 1985 r. o drogach publicznych </w:t>
      </w:r>
      <w:r w:rsidRPr="008846D3">
        <w:rPr>
          <w:rFonts w:ascii="Times New Roman" w:hAnsi="Times New Roman" w:cs="Times New Roman"/>
          <w:color w:val="000000" w:themeColor="text1"/>
          <w:sz w:val="24"/>
          <w:szCs w:val="24"/>
        </w:rPr>
        <w:t>(Dz.U. z 2020 poz. 470</w:t>
      </w:r>
      <w:r w:rsidRPr="003726B3">
        <w:rPr>
          <w:rFonts w:ascii="Times New Roman" w:hAnsi="Times New Roman" w:cs="Times New Roman"/>
          <w:sz w:val="24"/>
          <w:szCs w:val="24"/>
        </w:rPr>
        <w:t xml:space="preserve">) odnosi się do lokalizacji/budowy/przebudowy zjazdu, natomiast w analizowanej uchwale w § 19 pkt 9 wprowadzono zakaz bezpośredniego powiązania drogi 1KDW z drogą KD-GP. </w:t>
      </w:r>
    </w:p>
    <w:p w:rsidR="00D63A46" w:rsidRDefault="00D63A46" w:rsidP="00D63A46">
      <w:pPr>
        <w:spacing w:after="0" w:line="240" w:lineRule="auto"/>
        <w:jc w:val="both"/>
        <w:rPr>
          <w:rFonts w:ascii="Times New Roman" w:hAnsi="Times New Roman" w:cs="Times New Roman"/>
          <w:sz w:val="24"/>
          <w:szCs w:val="24"/>
        </w:rPr>
      </w:pPr>
    </w:p>
    <w:p w:rsidR="00D63A46" w:rsidRDefault="00D63A46" w:rsidP="00D63A46">
      <w:pPr>
        <w:spacing w:after="0" w:line="240" w:lineRule="auto"/>
        <w:jc w:val="both"/>
        <w:rPr>
          <w:rFonts w:ascii="Times New Roman" w:hAnsi="Times New Roman" w:cs="Times New Roman"/>
          <w:sz w:val="24"/>
          <w:szCs w:val="24"/>
        </w:rPr>
      </w:pPr>
      <w:r w:rsidRPr="003726B3">
        <w:rPr>
          <w:rFonts w:ascii="Times New Roman" w:hAnsi="Times New Roman" w:cs="Times New Roman"/>
          <w:sz w:val="24"/>
          <w:szCs w:val="24"/>
        </w:rPr>
        <w:t xml:space="preserve">W § 10 zaskarżonej uchwały zostały zawarte uregulowania szczegółowe dotyczące terenów zabudowy usługowej, obiektów produkcyjnych, składów, magazynów, oznaczonych symbolami 1U/P, 2U/P, 3U/P. Wszystkie z wymienionych terenów, w obowiązującym Studium uwarunkowań i kierunków zagospodarowania przestrzennego gminy Nowa Wieś Wielka (uchwała Nr XLI/418/10 Rady Gminy Nowa Wieś Wielka z dnia 5 października 2010r., zmieniona uchwałą Nr XLII/369/14 Rady Gminy Nowa Wieś Wielka z dnia </w:t>
      </w:r>
      <w:r>
        <w:rPr>
          <w:rFonts w:ascii="Times New Roman" w:hAnsi="Times New Roman" w:cs="Times New Roman"/>
          <w:sz w:val="24"/>
          <w:szCs w:val="24"/>
        </w:rPr>
        <w:br/>
        <w:t>2</w:t>
      </w:r>
      <w:r w:rsidRPr="003726B3">
        <w:rPr>
          <w:rFonts w:ascii="Times New Roman" w:hAnsi="Times New Roman" w:cs="Times New Roman"/>
          <w:sz w:val="24"/>
          <w:szCs w:val="24"/>
        </w:rPr>
        <w:t xml:space="preserve">9 września 2014 r.), przeznaczone są pod tereny tożsame z przeznaczeniem określonym w planie miejscowym. Parametry maksymalnej powierzchni zabudowy oraz minimalnej powierzchni biologicznie czynnej ustalone zostały w oparciu o istniejące uwarunkowania przedmiotowego terenu, stanowiącego zaplecze dla rozwoju już istniejących obiektów o tożsamej funkcji, na co wskazuje również fragment w/w Studium w rozdziale 2.2.2 na stronie 33: </w:t>
      </w:r>
      <w:r w:rsidRPr="003726B3">
        <w:rPr>
          <w:rFonts w:ascii="Times New Roman" w:hAnsi="Times New Roman" w:cs="Times New Roman"/>
          <w:i/>
          <w:iCs/>
          <w:sz w:val="24"/>
          <w:szCs w:val="24"/>
        </w:rPr>
        <w:t>W zakresie lokalizacji przemysłu i uciążliwych usług ustala się lokalizację nowych obiektów w ramach dwóch istniejących ośrodków w Kobylarni, w Nowej Wsi Wielkiej /rejon bazy paliw płynnych i teren pomiędzy trasami kolejowymi Bydgoszcz –</w:t>
      </w:r>
      <w:r>
        <w:rPr>
          <w:rFonts w:ascii="Times New Roman" w:hAnsi="Times New Roman" w:cs="Times New Roman"/>
          <w:i/>
          <w:iCs/>
          <w:sz w:val="24"/>
          <w:szCs w:val="24"/>
        </w:rPr>
        <w:t xml:space="preserve"> </w:t>
      </w:r>
      <w:r w:rsidRPr="003726B3">
        <w:rPr>
          <w:rFonts w:ascii="Times New Roman" w:hAnsi="Times New Roman" w:cs="Times New Roman"/>
          <w:i/>
          <w:iCs/>
          <w:sz w:val="24"/>
          <w:szCs w:val="24"/>
        </w:rPr>
        <w:t xml:space="preserve">Inowrocław i Śląsk- Porty/, w Tarkowie Dolnym /między drogą krajową i linią kolejową oraz wzdłuż drogi powiatowej nr 1552 C/ i </w:t>
      </w:r>
      <w:r w:rsidRPr="000D5069">
        <w:rPr>
          <w:rFonts w:ascii="Times New Roman" w:hAnsi="Times New Roman" w:cs="Times New Roman"/>
          <w:bCs/>
          <w:i/>
          <w:iCs/>
          <w:sz w:val="24"/>
          <w:szCs w:val="24"/>
        </w:rPr>
        <w:t>w Brzozie /wzdłuż drogi krajowej</w:t>
      </w:r>
      <w:r w:rsidRPr="003726B3">
        <w:rPr>
          <w:rFonts w:ascii="Times New Roman" w:hAnsi="Times New Roman" w:cs="Times New Roman"/>
          <w:sz w:val="24"/>
          <w:szCs w:val="24"/>
        </w:rPr>
        <w:t xml:space="preserve">/. Na działkach nr ewid. 213/32, 213/16, 213/14, 215/4 i 215/10 znajdują się obiekty usługowe i produkcyjne o dużej intensywności. Obiekty te stanowią miejsca pracy dla lokalnej społeczności, stąd ich rozwój i rozbudowa, zgodnie z kierunkami Studium, jest potrzebna. Z tego względu postanowiono zwiększyć parametry urbanistyczne. W podobnej sprawie wypowiedział się Wojewódzki Sąd Administracyjny w Olsztynie w wyroku II SA/Ol 721/18 z dnia 29 listopada 2018 r.: „zgodnie z art. 15 ust. 2 pkt 6 u.p.z.p. minimalny udział procentowy powierzchni biologicznie czynnej w odniesieniu do powierzchni działki budowlanej określa się w planie miejscowym, a nie w studium. Sąd kasacyjny wskazał, że wykładając ustalenia studium w zgodzie z ustawą o planowaniu i zagospodarowaniu przestrzennym należało przyjąć, że określone w studium wskaźniki powierzchni biologicznie czynnej mają orientacyjny charakter, dopuszczający odstępstwa zgodne z kierunkami rozwoju wskazanymi w studium. Zgodne z kierunkami rozwoju wskazanymi w studium było zatem przyjęcie niższych wskaźników powierzchni biologicznie </w:t>
      </w:r>
      <w:r w:rsidRPr="00D1093A">
        <w:rPr>
          <w:rFonts w:ascii="Times New Roman" w:hAnsi="Times New Roman" w:cs="Times New Roman"/>
          <w:sz w:val="24"/>
          <w:szCs w:val="24"/>
        </w:rPr>
        <w:t>czynnej na terenach przeznaczonych pod usługi, …”.</w:t>
      </w:r>
    </w:p>
    <w:p w:rsidR="00D63A46" w:rsidRPr="00D1093A" w:rsidRDefault="00D63A46" w:rsidP="00D63A46">
      <w:pPr>
        <w:spacing w:after="0" w:line="240" w:lineRule="auto"/>
        <w:jc w:val="both"/>
        <w:rPr>
          <w:rFonts w:ascii="Times New Roman" w:hAnsi="Times New Roman" w:cs="Times New Roman"/>
          <w:sz w:val="24"/>
          <w:szCs w:val="24"/>
        </w:rPr>
      </w:pPr>
      <w:r w:rsidRPr="00D1093A">
        <w:rPr>
          <w:rFonts w:ascii="Times New Roman" w:hAnsi="Times New Roman" w:cs="Times New Roman"/>
          <w:sz w:val="24"/>
          <w:szCs w:val="24"/>
        </w:rPr>
        <w:t xml:space="preserve"> </w:t>
      </w:r>
    </w:p>
    <w:p w:rsidR="00D63A46" w:rsidRDefault="00D63A46" w:rsidP="00D63A46">
      <w:pPr>
        <w:spacing w:after="0" w:line="240" w:lineRule="auto"/>
        <w:jc w:val="both"/>
        <w:rPr>
          <w:rFonts w:ascii="Times New Roman" w:hAnsi="Times New Roman" w:cs="Times New Roman"/>
          <w:sz w:val="24"/>
          <w:szCs w:val="24"/>
        </w:rPr>
      </w:pPr>
      <w:r w:rsidRPr="00D1093A">
        <w:rPr>
          <w:rFonts w:ascii="Times New Roman" w:hAnsi="Times New Roman" w:cs="Times New Roman"/>
          <w:sz w:val="24"/>
          <w:szCs w:val="24"/>
        </w:rPr>
        <w:t xml:space="preserve">Mając na uwadze powyższą argumentację, a także okoliczność, że gmina Nowa Wieś Wielka jest w trakcie sporządzania nowego Studium uwarunkowań i kierunków zagospodarowania </w:t>
      </w:r>
      <w:r w:rsidRPr="00D1093A">
        <w:rPr>
          <w:rFonts w:ascii="Times New Roman" w:hAnsi="Times New Roman" w:cs="Times New Roman"/>
          <w:sz w:val="24"/>
          <w:szCs w:val="24"/>
        </w:rPr>
        <w:lastRenderedPageBreak/>
        <w:t xml:space="preserve">przestrzennego dla obszaru gminy w jej granicach administracyjnych </w:t>
      </w:r>
      <w:r w:rsidRPr="008846D3">
        <w:rPr>
          <w:rFonts w:ascii="Times New Roman" w:hAnsi="Times New Roman" w:cs="Times New Roman"/>
          <w:color w:val="000000" w:themeColor="text1"/>
          <w:sz w:val="24"/>
          <w:szCs w:val="24"/>
        </w:rPr>
        <w:t xml:space="preserve">(uchwała nr V/29/19 Rady Gminy Nowa Wieś Wielka  z dnia 26 lutego 2019 r.), </w:t>
      </w:r>
      <w:r w:rsidRPr="00D1093A">
        <w:rPr>
          <w:rFonts w:ascii="Times New Roman" w:hAnsi="Times New Roman" w:cs="Times New Roman"/>
          <w:sz w:val="24"/>
          <w:szCs w:val="24"/>
        </w:rPr>
        <w:t>na potrzeby którego przeprowadzono szereg analiz urbanistycznych, z których wyciągnięte wnioski pozwoliły na wprowadzenie w projekcie studium parametrów urbanistycznych tożsamych z uwarunkowaniami lokalnymi oraz zapisami przedmiotowego planu miejscowego, wnioski zgłoszone w pkt 1-3 są w pełni konieczne, uzasadnione i celowe.</w:t>
      </w:r>
    </w:p>
    <w:p w:rsidR="00D63A46" w:rsidRPr="00D1093A" w:rsidRDefault="00D63A46" w:rsidP="00D63A46">
      <w:pPr>
        <w:spacing w:after="0" w:line="240" w:lineRule="auto"/>
        <w:jc w:val="both"/>
        <w:rPr>
          <w:rFonts w:ascii="Times New Roman" w:hAnsi="Times New Roman" w:cs="Times New Roman"/>
          <w:sz w:val="24"/>
          <w:szCs w:val="24"/>
        </w:rPr>
      </w:pPr>
    </w:p>
    <w:p w:rsidR="00D63A46" w:rsidRPr="008846D3" w:rsidRDefault="00D63A46" w:rsidP="00D63A46">
      <w:pPr>
        <w:spacing w:after="0" w:line="240" w:lineRule="auto"/>
        <w:jc w:val="both"/>
        <w:rPr>
          <w:rFonts w:ascii="Times New Roman" w:hAnsi="Times New Roman" w:cs="Times New Roman"/>
          <w:color w:val="000000" w:themeColor="text1"/>
          <w:sz w:val="24"/>
          <w:szCs w:val="24"/>
        </w:rPr>
      </w:pPr>
      <w:r w:rsidRPr="008846D3">
        <w:rPr>
          <w:rFonts w:ascii="Times New Roman" w:hAnsi="Times New Roman" w:cs="Times New Roman"/>
          <w:color w:val="000000" w:themeColor="text1"/>
          <w:sz w:val="24"/>
          <w:szCs w:val="24"/>
        </w:rPr>
        <w:t>Ewentualne po</w:t>
      </w:r>
      <w:r>
        <w:rPr>
          <w:rFonts w:ascii="Times New Roman" w:hAnsi="Times New Roman" w:cs="Times New Roman"/>
          <w:color w:val="000000" w:themeColor="text1"/>
          <w:sz w:val="24"/>
          <w:szCs w:val="24"/>
        </w:rPr>
        <w:t>minięcie</w:t>
      </w:r>
      <w:r w:rsidRPr="008846D3">
        <w:rPr>
          <w:rFonts w:ascii="Times New Roman" w:hAnsi="Times New Roman" w:cs="Times New Roman"/>
          <w:color w:val="000000" w:themeColor="text1"/>
          <w:sz w:val="24"/>
          <w:szCs w:val="24"/>
        </w:rPr>
        <w:t xml:space="preserve"> parametru maksymalnej powierzchni zabudowy przy realizacji nowej zabudowy, z uwagi na konieczność zachowania minimalnej powierzchni biologicznie  czynnej oraz naturalną potrzebę pozostawienia powierzchni niezabudowanych na cele transportu wewnętrznego oraz potrzeby techniczne (zbiorniki nieczystości, kanalizacja  deszczowa, powierzchnie gospodarcze, itp.), nie będzie miało większego znaczenia dla zagospodarowania danej nieruchomości. Każda forma zagospodarowania terenu w zgodzie z ustaleniami § 10 zaskarżonej uchwały, z pominięciem lit. e, nie zmieni w sposób znaczący planowanego układu urbanistycznego, przyszłego ładu przestrzennego, innymi słowy będzie zgodna z polityką przestrzenną Gminy. Obiekty usługowo-produkcyjne powstaną na terenach celowo wyznaczonych przez Gminę.     </w:t>
      </w:r>
    </w:p>
    <w:p w:rsidR="00D63A46" w:rsidRDefault="00D63A46" w:rsidP="00D63A46">
      <w:pPr>
        <w:pStyle w:val="NormalnyWeb"/>
        <w:spacing w:after="0" w:line="360" w:lineRule="auto"/>
      </w:pPr>
      <w:r>
        <w:t>W związku z powyższym wnoszę jak w petitum odpowiedzi na skargę.</w:t>
      </w:r>
    </w:p>
    <w:p w:rsidR="00D63A46" w:rsidRPr="00D1093A" w:rsidRDefault="00D63A46" w:rsidP="00D63A46">
      <w:pPr>
        <w:pStyle w:val="NormalnyWeb"/>
        <w:spacing w:after="0" w:line="360" w:lineRule="auto"/>
      </w:pPr>
    </w:p>
    <w:p w:rsidR="00D63A46" w:rsidRPr="00D1093A" w:rsidRDefault="00D63A46" w:rsidP="00D63A46">
      <w:pPr>
        <w:spacing w:after="0" w:line="240" w:lineRule="auto"/>
        <w:jc w:val="both"/>
        <w:rPr>
          <w:rFonts w:ascii="Times New Roman" w:hAnsi="Times New Roman" w:cs="Times New Roman"/>
          <w:sz w:val="24"/>
          <w:szCs w:val="24"/>
        </w:rPr>
      </w:pPr>
      <w:r w:rsidRPr="00D1093A">
        <w:rPr>
          <w:rFonts w:ascii="Times New Roman" w:hAnsi="Times New Roman" w:cs="Times New Roman"/>
          <w:sz w:val="24"/>
          <w:szCs w:val="24"/>
        </w:rPr>
        <w:t>Otrzymują:</w:t>
      </w:r>
    </w:p>
    <w:p w:rsidR="00D63A46" w:rsidRPr="00D1093A" w:rsidRDefault="00D63A46" w:rsidP="00D63A46">
      <w:pPr>
        <w:spacing w:after="0" w:line="240" w:lineRule="auto"/>
        <w:jc w:val="both"/>
        <w:rPr>
          <w:rFonts w:ascii="Times New Roman" w:hAnsi="Times New Roman" w:cs="Times New Roman"/>
          <w:sz w:val="24"/>
          <w:szCs w:val="24"/>
        </w:rPr>
      </w:pPr>
      <w:r w:rsidRPr="00D1093A">
        <w:rPr>
          <w:rFonts w:ascii="Times New Roman" w:hAnsi="Times New Roman" w:cs="Times New Roman"/>
          <w:sz w:val="24"/>
          <w:szCs w:val="24"/>
        </w:rPr>
        <w:t>1.adresat wraz z załącznikami,</w:t>
      </w:r>
    </w:p>
    <w:p w:rsidR="00D63A46" w:rsidRPr="005F7DD5" w:rsidRDefault="00D63A46" w:rsidP="00D63A46">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2.a/a.</w:t>
      </w:r>
    </w:p>
    <w:p w:rsidR="009A3365" w:rsidRDefault="009A3365">
      <w:bookmarkStart w:id="0" w:name="_GoBack"/>
      <w:bookmarkEnd w:id="0"/>
    </w:p>
    <w:sectPr w:rsidR="009A336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A46"/>
    <w:rsid w:val="009A3365"/>
    <w:rsid w:val="00D63A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AA8266-F289-4BF5-BB4D-A610D1861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3A46"/>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D63A46"/>
    <w:pPr>
      <w:spacing w:before="100" w:beforeAutospacing="1" w:after="142" w:line="288"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1078</Words>
  <Characters>6470</Characters>
  <Application>Microsoft Office Word</Application>
  <DocSecurity>0</DocSecurity>
  <Lines>53</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Rada</dc:creator>
  <cp:keywords/>
  <dc:description/>
  <cp:lastModifiedBy>Rada</cp:lastModifiedBy>
  <cp:revision>1</cp:revision>
  <dcterms:created xsi:type="dcterms:W3CDTF">2020-05-20T06:14:00Z</dcterms:created>
  <dcterms:modified xsi:type="dcterms:W3CDTF">2020-05-20T06:15:00Z</dcterms:modified>
</cp:coreProperties>
</file>